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B06C6" w14:textId="77777777" w:rsidR="00C93DBE" w:rsidRDefault="00C93DBE" w:rsidP="00963FAE">
      <w:pPr>
        <w:pStyle w:val="a3"/>
        <w:tabs>
          <w:tab w:val="left" w:pos="8931"/>
        </w:tabs>
        <w:spacing w:line="24" w:lineRule="atLeast"/>
        <w:rPr>
          <w:sz w:val="24"/>
          <w:szCs w:val="24"/>
        </w:rPr>
      </w:pPr>
      <w:bookmarkStart w:id="0" w:name="_GoBack"/>
      <w:bookmarkEnd w:id="0"/>
    </w:p>
    <w:p w14:paraId="3F3FA1B6" w14:textId="77777777" w:rsidR="00C550A5" w:rsidRDefault="00FD471B" w:rsidP="00963FAE">
      <w:pPr>
        <w:pStyle w:val="a3"/>
        <w:tabs>
          <w:tab w:val="left" w:pos="8931"/>
        </w:tabs>
        <w:spacing w:line="24" w:lineRule="atLeast"/>
        <w:rPr>
          <w:sz w:val="24"/>
          <w:szCs w:val="24"/>
        </w:rPr>
      </w:pPr>
      <w:r w:rsidRPr="00FD471B">
        <w:rPr>
          <w:sz w:val="24"/>
          <w:szCs w:val="24"/>
        </w:rPr>
        <w:t>РАЗ</w:t>
      </w:r>
      <w:r w:rsidR="00D07B49">
        <w:rPr>
          <w:sz w:val="24"/>
          <w:szCs w:val="24"/>
        </w:rPr>
        <w:t>Ъ</w:t>
      </w:r>
      <w:r w:rsidRPr="00FD471B">
        <w:rPr>
          <w:sz w:val="24"/>
          <w:szCs w:val="24"/>
        </w:rPr>
        <w:t>ЯСНЕНИЯ</w:t>
      </w:r>
    </w:p>
    <w:p w14:paraId="072B9D69" w14:textId="77777777" w:rsidR="002101F9" w:rsidRDefault="002101F9" w:rsidP="00963FAE">
      <w:pPr>
        <w:pStyle w:val="a3"/>
        <w:tabs>
          <w:tab w:val="left" w:pos="8931"/>
        </w:tabs>
        <w:spacing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по вопросам </w:t>
      </w:r>
      <w:r w:rsidR="006A65DC">
        <w:rPr>
          <w:sz w:val="24"/>
          <w:szCs w:val="24"/>
        </w:rPr>
        <w:t xml:space="preserve">расторжения / изменения договора гражданско-правового характера </w:t>
      </w:r>
    </w:p>
    <w:p w14:paraId="2F4273E7" w14:textId="77777777" w:rsidR="006A65DC" w:rsidRDefault="006A65DC" w:rsidP="00963FAE">
      <w:pPr>
        <w:pStyle w:val="a3"/>
        <w:tabs>
          <w:tab w:val="left" w:pos="8931"/>
        </w:tabs>
        <w:spacing w:line="24" w:lineRule="atLeast"/>
        <w:rPr>
          <w:sz w:val="24"/>
          <w:szCs w:val="24"/>
        </w:rPr>
      </w:pPr>
      <w:r>
        <w:rPr>
          <w:sz w:val="24"/>
          <w:szCs w:val="24"/>
        </w:rPr>
        <w:t xml:space="preserve">об оказании преподавательских услуг </w:t>
      </w:r>
    </w:p>
    <w:p w14:paraId="23652595" w14:textId="77777777" w:rsidR="006A65DC" w:rsidRDefault="006A65DC" w:rsidP="00963FAE">
      <w:pPr>
        <w:pStyle w:val="a3"/>
        <w:tabs>
          <w:tab w:val="left" w:pos="8931"/>
        </w:tabs>
        <w:spacing w:line="24" w:lineRule="atLeast"/>
        <w:rPr>
          <w:sz w:val="24"/>
          <w:szCs w:val="24"/>
        </w:rPr>
      </w:pPr>
    </w:p>
    <w:p w14:paraId="7A5F9599" w14:textId="77777777" w:rsidR="006A65DC" w:rsidRPr="006A65DC" w:rsidRDefault="00D05155" w:rsidP="00963FAE">
      <w:pPr>
        <w:pStyle w:val="a3"/>
        <w:tabs>
          <w:tab w:val="left" w:pos="8931"/>
        </w:tabs>
        <w:spacing w:line="24" w:lineRule="atLeas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Настоящие разъяснения п</w:t>
      </w:r>
      <w:r w:rsidR="006A65DC" w:rsidRPr="006A65DC">
        <w:rPr>
          <w:b w:val="0"/>
          <w:sz w:val="24"/>
          <w:szCs w:val="24"/>
        </w:rPr>
        <w:t xml:space="preserve">одготовлены Дирекцией по правовым вопросам </w:t>
      </w:r>
      <w:r>
        <w:rPr>
          <w:b w:val="0"/>
          <w:sz w:val="24"/>
          <w:szCs w:val="24"/>
        </w:rPr>
        <w:t xml:space="preserve">в целях информирования </w:t>
      </w:r>
      <w:r w:rsidR="007758DD">
        <w:rPr>
          <w:b w:val="0"/>
          <w:sz w:val="24"/>
          <w:szCs w:val="24"/>
        </w:rPr>
        <w:t xml:space="preserve">руководителей структурных подразделений, реализующих образовательные программы, академических руководителей образовательных программ, приглашенных преподавателей о </w:t>
      </w:r>
      <w:r w:rsidR="007758DD" w:rsidRPr="00D81543">
        <w:rPr>
          <w:b w:val="0"/>
          <w:sz w:val="24"/>
          <w:szCs w:val="24"/>
        </w:rPr>
        <w:t xml:space="preserve">правовых </w:t>
      </w:r>
      <w:r w:rsidR="00D81543">
        <w:rPr>
          <w:b w:val="0"/>
          <w:sz w:val="24"/>
          <w:szCs w:val="24"/>
        </w:rPr>
        <w:t>механизмах</w:t>
      </w:r>
      <w:r w:rsidR="007758DD" w:rsidRPr="00D81543">
        <w:rPr>
          <w:b w:val="0"/>
          <w:sz w:val="24"/>
          <w:szCs w:val="24"/>
        </w:rPr>
        <w:t xml:space="preserve"> </w:t>
      </w:r>
      <w:r w:rsidR="00D81543">
        <w:rPr>
          <w:b w:val="0"/>
          <w:sz w:val="24"/>
          <w:szCs w:val="24"/>
        </w:rPr>
        <w:t xml:space="preserve">и практике </w:t>
      </w:r>
      <w:r w:rsidR="002C71C5" w:rsidRPr="00D81543">
        <w:rPr>
          <w:b w:val="0"/>
          <w:sz w:val="24"/>
          <w:szCs w:val="24"/>
        </w:rPr>
        <w:t xml:space="preserve">расторжения </w:t>
      </w:r>
      <w:r w:rsidR="007758DD" w:rsidRPr="00D81543">
        <w:rPr>
          <w:b w:val="0"/>
          <w:sz w:val="24"/>
          <w:szCs w:val="24"/>
        </w:rPr>
        <w:t>договор</w:t>
      </w:r>
      <w:r w:rsidR="002C71C5" w:rsidRPr="00D81543">
        <w:rPr>
          <w:b w:val="0"/>
          <w:sz w:val="24"/>
          <w:szCs w:val="24"/>
        </w:rPr>
        <w:t>а</w:t>
      </w:r>
      <w:r w:rsidR="007758DD">
        <w:rPr>
          <w:b w:val="0"/>
          <w:sz w:val="24"/>
          <w:szCs w:val="24"/>
        </w:rPr>
        <w:t xml:space="preserve"> гражданско-правового характера на оказани</w:t>
      </w:r>
      <w:r w:rsidR="00D81543">
        <w:rPr>
          <w:b w:val="0"/>
          <w:sz w:val="24"/>
          <w:szCs w:val="24"/>
        </w:rPr>
        <w:t>е</w:t>
      </w:r>
      <w:r w:rsidR="007758DD">
        <w:rPr>
          <w:b w:val="0"/>
          <w:sz w:val="24"/>
          <w:szCs w:val="24"/>
        </w:rPr>
        <w:t xml:space="preserve"> преподавательских услуг (далее – договор ГПХ)</w:t>
      </w:r>
      <w:r w:rsidR="00D81543">
        <w:rPr>
          <w:b w:val="0"/>
          <w:sz w:val="24"/>
          <w:szCs w:val="24"/>
        </w:rPr>
        <w:t xml:space="preserve"> в НИУ ВШЭ</w:t>
      </w:r>
      <w:r w:rsidR="007758DD">
        <w:rPr>
          <w:b w:val="0"/>
          <w:sz w:val="24"/>
          <w:szCs w:val="24"/>
        </w:rPr>
        <w:t>.</w:t>
      </w:r>
    </w:p>
    <w:p w14:paraId="3FFB11EF" w14:textId="77777777" w:rsidR="006A65DC" w:rsidRDefault="006A65DC" w:rsidP="00963FAE">
      <w:pPr>
        <w:tabs>
          <w:tab w:val="num" w:pos="360"/>
          <w:tab w:val="left" w:pos="993"/>
          <w:tab w:val="left" w:pos="8931"/>
        </w:tabs>
        <w:spacing w:line="24" w:lineRule="atLeast"/>
        <w:rPr>
          <w:b/>
        </w:rPr>
      </w:pPr>
    </w:p>
    <w:p w14:paraId="1DEBC156" w14:textId="77777777" w:rsidR="007758DD" w:rsidRDefault="00817A18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Договор </w:t>
      </w:r>
      <w:r w:rsidR="007758DD">
        <w:t>ГПХ</w:t>
      </w:r>
      <w:r w:rsidR="006A65DC" w:rsidRPr="006A65DC">
        <w:t xml:space="preserve"> </w:t>
      </w:r>
      <w:r w:rsidR="006A65DC">
        <w:t xml:space="preserve">в НИУ ВШЭ </w:t>
      </w:r>
      <w:r w:rsidR="007758DD">
        <w:t>заключа</w:t>
      </w:r>
      <w:r w:rsidR="00B066DC">
        <w:t>е</w:t>
      </w:r>
      <w:r w:rsidR="007758DD">
        <w:t xml:space="preserve">тся </w:t>
      </w:r>
      <w:r w:rsidR="006A65DC">
        <w:t>по типовой форме</w:t>
      </w:r>
      <w:r w:rsidR="00D94587">
        <w:t>, утверждаемой приказом НИУ </w:t>
      </w:r>
      <w:r w:rsidR="007758DD">
        <w:t>ВШЭ</w:t>
      </w:r>
      <w:r w:rsidR="00B066DC">
        <w:t>, и фиксирует объем и условия оказания преподавательских услуг</w:t>
      </w:r>
      <w:r w:rsidR="00F834EC">
        <w:t xml:space="preserve"> в рамках конкретного договора</w:t>
      </w:r>
      <w:r w:rsidR="00B066DC">
        <w:t xml:space="preserve">. </w:t>
      </w:r>
    </w:p>
    <w:p w14:paraId="7864CCF7" w14:textId="77777777" w:rsidR="00F834EC" w:rsidRDefault="00F834EC" w:rsidP="00D81543">
      <w:pPr>
        <w:pStyle w:val="a8"/>
        <w:tabs>
          <w:tab w:val="left" w:pos="993"/>
          <w:tab w:val="left" w:pos="8931"/>
        </w:tabs>
        <w:spacing w:line="24" w:lineRule="atLeast"/>
        <w:ind w:left="709"/>
        <w:contextualSpacing w:val="0"/>
        <w:jc w:val="both"/>
      </w:pPr>
    </w:p>
    <w:p w14:paraId="4E181FEF" w14:textId="4B950F37" w:rsidR="00B066DC" w:rsidRPr="00F834EC" w:rsidRDefault="00157FF6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>По</w:t>
      </w:r>
      <w:r w:rsidR="00B066DC">
        <w:t xml:space="preserve"> общ</w:t>
      </w:r>
      <w:r>
        <w:t>ему</w:t>
      </w:r>
      <w:r w:rsidR="00B066DC">
        <w:t xml:space="preserve"> правил</w:t>
      </w:r>
      <w:r>
        <w:t>у</w:t>
      </w:r>
      <w:r w:rsidR="008C03C3">
        <w:t>,</w:t>
      </w:r>
      <w:r w:rsidR="00B066DC">
        <w:t xml:space="preserve"> стороны должны исполнять принятые по договору обязательства </w:t>
      </w:r>
      <w:r w:rsidR="00B066DC" w:rsidRPr="00D81543">
        <w:rPr>
          <w:u w:val="single"/>
        </w:rPr>
        <w:t>надлежащим образом</w:t>
      </w:r>
      <w:r w:rsidR="00B066DC">
        <w:t xml:space="preserve"> (</w:t>
      </w:r>
      <w:r w:rsidR="00D81543">
        <w:t xml:space="preserve">то есть с </w:t>
      </w:r>
      <w:r>
        <w:t>надлежащ</w:t>
      </w:r>
      <w:r w:rsidR="00D81543">
        <w:t>им</w:t>
      </w:r>
      <w:r>
        <w:t xml:space="preserve"> объем</w:t>
      </w:r>
      <w:r w:rsidR="00D81543">
        <w:t>ом</w:t>
      </w:r>
      <w:r>
        <w:t>, качеств</w:t>
      </w:r>
      <w:r w:rsidR="00D81543">
        <w:t>ом</w:t>
      </w:r>
      <w:r>
        <w:t>,</w:t>
      </w:r>
      <w:r w:rsidR="000362B1">
        <w:t xml:space="preserve"> </w:t>
      </w:r>
      <w:r w:rsidR="00F834EC">
        <w:t xml:space="preserve">в установленный </w:t>
      </w:r>
      <w:r w:rsidR="00F834EC" w:rsidRPr="00F834EC">
        <w:t xml:space="preserve">срок, </w:t>
      </w:r>
      <w:r w:rsidR="000362B1" w:rsidRPr="00F834EC">
        <w:t>и</w:t>
      </w:r>
      <w:r w:rsidRPr="00F834EC">
        <w:t xml:space="preserve"> с учетом выполнения всех принятых сторонами обязательств).</w:t>
      </w:r>
    </w:p>
    <w:p w14:paraId="0E8DE593" w14:textId="77777777" w:rsidR="00D81543" w:rsidRDefault="00D81543" w:rsidP="00D81543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</w:p>
    <w:p w14:paraId="74ACF265" w14:textId="77777777" w:rsidR="00B066DC" w:rsidRPr="00D94587" w:rsidRDefault="00F834EC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Подавляющее большинство договоров ГПХ </w:t>
      </w:r>
      <w:r w:rsidR="00D81543">
        <w:t>в НИУ ВШЭ (</w:t>
      </w:r>
      <w:r w:rsidR="00D81543" w:rsidRPr="00FC70CD">
        <w:rPr>
          <w:u w:val="single"/>
        </w:rPr>
        <w:t>практически все</w:t>
      </w:r>
      <w:r w:rsidR="00D81543">
        <w:t xml:space="preserve">) </w:t>
      </w:r>
      <w:r w:rsidR="00FC70CD">
        <w:t xml:space="preserve">выполняется в соответствии с первоначальными договоренностями сторон и </w:t>
      </w:r>
      <w:r>
        <w:t xml:space="preserve">завершаются </w:t>
      </w:r>
      <w:r w:rsidRPr="00F834EC">
        <w:rPr>
          <w:u w:val="single"/>
        </w:rPr>
        <w:t>надлежащим исполнением</w:t>
      </w:r>
      <w:r>
        <w:rPr>
          <w:u w:val="single"/>
        </w:rPr>
        <w:t xml:space="preserve"> </w:t>
      </w:r>
      <w:r w:rsidR="00D94587">
        <w:rPr>
          <w:u w:val="single"/>
        </w:rPr>
        <w:t xml:space="preserve">договора </w:t>
      </w:r>
      <w:r>
        <w:rPr>
          <w:u w:val="single"/>
        </w:rPr>
        <w:t>с обеих сторон</w:t>
      </w:r>
      <w:r w:rsidR="00D94587" w:rsidRPr="00D94587">
        <w:t>, что подтверждается актом, в котором стороны фиксируют отсутствие каких-либо встречных претензий друг к другу</w:t>
      </w:r>
      <w:r w:rsidRPr="00D94587">
        <w:t xml:space="preserve">. </w:t>
      </w:r>
    </w:p>
    <w:p w14:paraId="29DBFD29" w14:textId="77777777" w:rsidR="00F834EC" w:rsidRDefault="00F834EC" w:rsidP="00D81543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</w:p>
    <w:p w14:paraId="778BDA18" w14:textId="77777777" w:rsidR="00ED2209" w:rsidRDefault="006A65DC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>Однако жизн</w:t>
      </w:r>
      <w:r w:rsidR="000362B1">
        <w:t>енные обстоятельства</w:t>
      </w:r>
      <w:r>
        <w:t xml:space="preserve"> многогранн</w:t>
      </w:r>
      <w:r w:rsidR="000362B1">
        <w:t>ы</w:t>
      </w:r>
      <w:r>
        <w:t xml:space="preserve">, и </w:t>
      </w:r>
      <w:r w:rsidR="000362B1">
        <w:t>иногда случается так</w:t>
      </w:r>
      <w:r>
        <w:t xml:space="preserve">, что </w:t>
      </w:r>
      <w:r w:rsidR="000362B1">
        <w:t xml:space="preserve">по разным причинам </w:t>
      </w:r>
      <w:r w:rsidR="00D81543">
        <w:t>договор</w:t>
      </w:r>
      <w:r w:rsidR="00D94587">
        <w:t xml:space="preserve"> </w:t>
      </w:r>
      <w:r w:rsidR="000362B1">
        <w:t xml:space="preserve">ГПХ </w:t>
      </w:r>
      <w:r>
        <w:t>не может быть исполнен</w:t>
      </w:r>
      <w:r w:rsidR="000362B1">
        <w:t xml:space="preserve"> так</w:t>
      </w:r>
      <w:r>
        <w:t>, как</w:t>
      </w:r>
      <w:r w:rsidR="000362B1">
        <w:t xml:space="preserve"> изначально</w:t>
      </w:r>
      <w:r>
        <w:t xml:space="preserve"> планировалось. </w:t>
      </w:r>
    </w:p>
    <w:p w14:paraId="4B3AC081" w14:textId="77777777" w:rsidR="00D94587" w:rsidRDefault="000362B1" w:rsidP="00963FAE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На этот случай </w:t>
      </w:r>
      <w:r w:rsidR="006A65DC">
        <w:t xml:space="preserve">в договоре </w:t>
      </w:r>
      <w:r w:rsidR="00D94587">
        <w:t xml:space="preserve">ГПХ </w:t>
      </w:r>
      <w:r w:rsidR="006A65DC">
        <w:t>предусмотрены механизмы</w:t>
      </w:r>
      <w:r w:rsidR="00D94587">
        <w:t>:</w:t>
      </w:r>
    </w:p>
    <w:p w14:paraId="27F80362" w14:textId="77777777" w:rsidR="00D94587" w:rsidRDefault="009C516B" w:rsidP="00D94587">
      <w:pPr>
        <w:pStyle w:val="a8"/>
        <w:numPr>
          <w:ilvl w:val="0"/>
          <w:numId w:val="8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изменения договора </w:t>
      </w:r>
      <w:r w:rsidRPr="00D94587">
        <w:rPr>
          <w:i/>
        </w:rPr>
        <w:t>или</w:t>
      </w:r>
      <w:r>
        <w:t xml:space="preserve"> </w:t>
      </w:r>
    </w:p>
    <w:p w14:paraId="70A69D5E" w14:textId="77777777" w:rsidR="00D94587" w:rsidRDefault="006A65DC" w:rsidP="00D94587">
      <w:pPr>
        <w:pStyle w:val="a8"/>
        <w:numPr>
          <w:ilvl w:val="0"/>
          <w:numId w:val="8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досрочного прекращения </w:t>
      </w:r>
      <w:r w:rsidR="000362B1">
        <w:t>договора.</w:t>
      </w:r>
      <w:r w:rsidR="00F834EC">
        <w:t xml:space="preserve"> </w:t>
      </w:r>
    </w:p>
    <w:p w14:paraId="42F00606" w14:textId="77777777" w:rsidR="00D81543" w:rsidRDefault="00D81543" w:rsidP="009B64F8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</w:p>
    <w:p w14:paraId="0D23FD28" w14:textId="09A37973" w:rsidR="006A65DC" w:rsidRPr="00FB1628" w:rsidRDefault="00D94587" w:rsidP="00FF5E9C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  <w:rPr>
          <w:u w:val="single"/>
        </w:rPr>
      </w:pPr>
      <w:r>
        <w:t>Указанные механизмы необходимы</w:t>
      </w:r>
      <w:r w:rsidR="00F834EC">
        <w:t xml:space="preserve"> </w:t>
      </w:r>
      <w:r w:rsidR="00F834EC" w:rsidRPr="00D94587">
        <w:rPr>
          <w:u w:val="single"/>
        </w:rPr>
        <w:t>в интересах обеих сторон</w:t>
      </w:r>
      <w:r w:rsidR="00F834EC">
        <w:t xml:space="preserve">, поскольку в противном случае (когда условия договора не могут быть выполнены, а адекватных </w:t>
      </w:r>
      <w:r>
        <w:t>способов</w:t>
      </w:r>
      <w:r w:rsidR="00FF5E9C">
        <w:t xml:space="preserve"> </w:t>
      </w:r>
      <w:r w:rsidR="00F834EC">
        <w:t xml:space="preserve">изменения/ </w:t>
      </w:r>
      <w:r w:rsidR="00ED2209">
        <w:t xml:space="preserve">досрочного </w:t>
      </w:r>
      <w:r w:rsidR="00F834EC">
        <w:t xml:space="preserve">прекращения </w:t>
      </w:r>
      <w:r w:rsidR="00FF5E9C">
        <w:t xml:space="preserve">договора </w:t>
      </w:r>
      <w:r w:rsidR="00F834EC">
        <w:t xml:space="preserve">нет), возникает </w:t>
      </w:r>
      <w:r w:rsidR="00ED2209">
        <w:t xml:space="preserve">риск </w:t>
      </w:r>
      <w:r w:rsidR="00F834EC" w:rsidRPr="00F834EC">
        <w:rPr>
          <w:u w:val="single"/>
        </w:rPr>
        <w:t>нарушени</w:t>
      </w:r>
      <w:r w:rsidR="00ED2209">
        <w:rPr>
          <w:u w:val="single"/>
        </w:rPr>
        <w:t>я</w:t>
      </w:r>
      <w:r w:rsidR="00F834EC">
        <w:t xml:space="preserve"> </w:t>
      </w:r>
      <w:r w:rsidR="008C4490">
        <w:t>стороной (НИУ ВШЭ или приглашенн</w:t>
      </w:r>
      <w:r w:rsidR="00FF5E9C">
        <w:t>ым</w:t>
      </w:r>
      <w:r w:rsidR="008C4490">
        <w:t xml:space="preserve"> преподавател</w:t>
      </w:r>
      <w:r w:rsidR="00FF5E9C">
        <w:t>ем</w:t>
      </w:r>
      <w:r w:rsidR="008C4490">
        <w:t xml:space="preserve">) своих </w:t>
      </w:r>
      <w:r w:rsidR="00F834EC">
        <w:t>обязательств и, как следствие, привлечен</w:t>
      </w:r>
      <w:r w:rsidR="00ED2209">
        <w:t xml:space="preserve">ия нарушителя </w:t>
      </w:r>
      <w:r w:rsidR="00F834EC">
        <w:t xml:space="preserve">к юридической ответственности. </w:t>
      </w:r>
      <w:r w:rsidR="00FB1628" w:rsidRPr="00FB1628">
        <w:rPr>
          <w:u w:val="single"/>
        </w:rPr>
        <w:t>Своевременное</w:t>
      </w:r>
      <w:r w:rsidR="00887467">
        <w:rPr>
          <w:u w:val="single"/>
        </w:rPr>
        <w:t xml:space="preserve"> изменение или</w:t>
      </w:r>
      <w:r w:rsidR="00FB1628" w:rsidRPr="00FB1628">
        <w:rPr>
          <w:u w:val="single"/>
        </w:rPr>
        <w:t xml:space="preserve"> прекращение</w:t>
      </w:r>
      <w:r w:rsidR="00887467">
        <w:rPr>
          <w:u w:val="single"/>
        </w:rPr>
        <w:t xml:space="preserve"> договора (до </w:t>
      </w:r>
      <w:r w:rsidR="00FB1628" w:rsidRPr="00FB1628">
        <w:rPr>
          <w:u w:val="single"/>
        </w:rPr>
        <w:t xml:space="preserve">момента возникновения нарушения) </w:t>
      </w:r>
      <w:r w:rsidR="00FF5E9C">
        <w:rPr>
          <w:u w:val="single"/>
        </w:rPr>
        <w:t>позволяет</w:t>
      </w:r>
      <w:r w:rsidR="00FB1628" w:rsidRPr="00FB1628">
        <w:rPr>
          <w:u w:val="single"/>
        </w:rPr>
        <w:t xml:space="preserve"> снять указанные риски. </w:t>
      </w:r>
    </w:p>
    <w:p w14:paraId="38B3AD5D" w14:textId="77777777" w:rsidR="008C4490" w:rsidRDefault="008C4490" w:rsidP="00FF5E9C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</w:p>
    <w:p w14:paraId="600EADB6" w14:textId="0A633351" w:rsidR="00FB1628" w:rsidRDefault="00FB1628" w:rsidP="00FF5E9C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Кроме того, </w:t>
      </w:r>
      <w:r w:rsidR="008C4490">
        <w:t>н</w:t>
      </w:r>
      <w:r>
        <w:t xml:space="preserve">е стоит забывать, что, хотя заказчиком преподавательских услуг является НИУ ВШЭ, их фактическими потребителями </w:t>
      </w:r>
      <w:r w:rsidRPr="008C4490">
        <w:rPr>
          <w:u w:val="single"/>
        </w:rPr>
        <w:t>являются обучающиеся университета</w:t>
      </w:r>
      <w:r>
        <w:t xml:space="preserve">. Соответственно, </w:t>
      </w:r>
      <w:r w:rsidR="008C4490">
        <w:t xml:space="preserve">наличие в договоре ГПХ механизмов </w:t>
      </w:r>
      <w:r w:rsidR="008C03C3">
        <w:t xml:space="preserve">изменения или </w:t>
      </w:r>
      <w:r w:rsidR="008C4490">
        <w:t xml:space="preserve">досрочного прекращения отношений в случае невозможности исполнения договора в первоначальном виде позволяет обеспечить интересы студентов и слушателей НИУ ВШЭ и снять риски нарушения прав потребителей образовательных услуг, </w:t>
      </w:r>
      <w:r w:rsidR="00FF5E9C">
        <w:t>предотвратить нарушение</w:t>
      </w:r>
      <w:r w:rsidR="008C4490">
        <w:t xml:space="preserve"> требований образовательн</w:t>
      </w:r>
      <w:r w:rsidR="00FF5E9C">
        <w:t>ых стандартов (что чревато уже санкциями со стороны Рособрнадзора).</w:t>
      </w:r>
    </w:p>
    <w:p w14:paraId="2E2B12A8" w14:textId="77777777" w:rsidR="008C4490" w:rsidRDefault="008C4490" w:rsidP="00FF5E9C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</w:p>
    <w:p w14:paraId="45779451" w14:textId="77777777" w:rsidR="009B64F8" w:rsidRPr="008C4490" w:rsidRDefault="008C4490" w:rsidP="00FF5E9C">
      <w:pPr>
        <w:pStyle w:val="a8"/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И, наконец, следует учитывать, что в случае невозможности </w:t>
      </w:r>
      <w:r w:rsidRPr="008C4490">
        <w:t xml:space="preserve">преподавателя оказать услуги в соответствии с договором </w:t>
      </w:r>
      <w:r w:rsidRPr="00887467">
        <w:rPr>
          <w:u w:val="single"/>
        </w:rPr>
        <w:t>НИУ ВШЭ обязан</w:t>
      </w:r>
      <w:r>
        <w:t xml:space="preserve"> предпринять соответствующие меры, иначе </w:t>
      </w:r>
      <w:r w:rsidRPr="008C4490">
        <w:t xml:space="preserve">возникает риск нарушения НИУ ВШЭ финансовой дисциплины </w:t>
      </w:r>
      <w:r w:rsidR="009B64F8" w:rsidRPr="008C4490">
        <w:t xml:space="preserve">(например, </w:t>
      </w:r>
      <w:r>
        <w:t xml:space="preserve">при </w:t>
      </w:r>
      <w:r w:rsidR="009B64F8" w:rsidRPr="008C4490">
        <w:t>привлечени</w:t>
      </w:r>
      <w:r>
        <w:t>и</w:t>
      </w:r>
      <w:r w:rsidR="009B64F8" w:rsidRPr="008C4490">
        <w:t xml:space="preserve"> другого преподавателя фактически на тот же объем услуг («задвоение» услуг)), </w:t>
      </w:r>
      <w:r>
        <w:t xml:space="preserve">особенно принимая во внимание </w:t>
      </w:r>
      <w:r w:rsidR="009B64F8" w:rsidRPr="008C4490">
        <w:t>статус НИУ ВШЭ как федерального автономного учреждения, финансируемого из бюджета Р</w:t>
      </w:r>
      <w:r>
        <w:t xml:space="preserve">оссийской </w:t>
      </w:r>
      <w:r w:rsidR="009B64F8" w:rsidRPr="008C4490">
        <w:t>Ф</w:t>
      </w:r>
      <w:r>
        <w:t>едерации</w:t>
      </w:r>
      <w:r w:rsidR="009B64F8" w:rsidRPr="008C4490">
        <w:t xml:space="preserve">. </w:t>
      </w:r>
    </w:p>
    <w:p w14:paraId="1781C6BD" w14:textId="77777777" w:rsidR="00F834EC" w:rsidRDefault="00F834EC" w:rsidP="00963FAE">
      <w:pPr>
        <w:pStyle w:val="a8"/>
        <w:tabs>
          <w:tab w:val="left" w:pos="993"/>
          <w:tab w:val="left" w:pos="8931"/>
        </w:tabs>
        <w:spacing w:line="24" w:lineRule="atLeast"/>
        <w:ind w:left="0"/>
        <w:contextualSpacing w:val="0"/>
        <w:jc w:val="both"/>
      </w:pPr>
    </w:p>
    <w:p w14:paraId="68B1F5EF" w14:textId="77777777" w:rsidR="006A65DC" w:rsidRDefault="006A65DC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В типовой форме </w:t>
      </w:r>
      <w:r w:rsidR="00817A18">
        <w:t xml:space="preserve">договора </w:t>
      </w:r>
      <w:r w:rsidR="000362B1">
        <w:t xml:space="preserve">ГПХ </w:t>
      </w:r>
      <w:r>
        <w:t>предусмотрен</w:t>
      </w:r>
      <w:r w:rsidR="000362B1">
        <w:t>о</w:t>
      </w:r>
      <w:r>
        <w:t xml:space="preserve"> несколько оснований </w:t>
      </w:r>
      <w:r w:rsidR="00ED2209">
        <w:t xml:space="preserve">изменения/ досрочного </w:t>
      </w:r>
      <w:r>
        <w:t>прекращения договора:</w:t>
      </w:r>
    </w:p>
    <w:p w14:paraId="0E34B149" w14:textId="77777777" w:rsidR="006A65DC" w:rsidRDefault="00ED2209" w:rsidP="008C4490">
      <w:pPr>
        <w:pStyle w:val="a8"/>
        <w:numPr>
          <w:ilvl w:val="0"/>
          <w:numId w:val="5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lastRenderedPageBreak/>
        <w:t>изменение договора ГПХ</w:t>
      </w:r>
      <w:r w:rsidR="006A65DC">
        <w:t xml:space="preserve"> по соглашению сторон</w:t>
      </w:r>
      <w:r w:rsidR="008C4490">
        <w:t xml:space="preserve"> или </w:t>
      </w:r>
      <w:r>
        <w:t>по решению суда</w:t>
      </w:r>
      <w:r w:rsidR="006A65DC">
        <w:t>;</w:t>
      </w:r>
    </w:p>
    <w:p w14:paraId="168200BC" w14:textId="77777777" w:rsidR="00ED2209" w:rsidRDefault="00ED2209" w:rsidP="00963FAE">
      <w:pPr>
        <w:pStyle w:val="a8"/>
        <w:numPr>
          <w:ilvl w:val="0"/>
          <w:numId w:val="5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>досрочное расторжение договора ГПХ п</w:t>
      </w:r>
      <w:r w:rsidR="008C4490">
        <w:t>о письменному соглашению сторон или по решению суда;</w:t>
      </w:r>
    </w:p>
    <w:p w14:paraId="1462DD27" w14:textId="2CEA7DBD" w:rsidR="006A65DC" w:rsidRDefault="006A65DC" w:rsidP="00963FAE">
      <w:pPr>
        <w:pStyle w:val="a8"/>
        <w:numPr>
          <w:ilvl w:val="0"/>
          <w:numId w:val="5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одностороннее </w:t>
      </w:r>
      <w:r w:rsidR="00887467">
        <w:t xml:space="preserve">(внесудебное) </w:t>
      </w:r>
      <w:r>
        <w:t>расторжение</w:t>
      </w:r>
      <w:r w:rsidR="00ED2209">
        <w:t xml:space="preserve"> договора ГПХ</w:t>
      </w:r>
      <w:r>
        <w:t xml:space="preserve"> с</w:t>
      </w:r>
      <w:r w:rsidR="00ED2209">
        <w:t>о стороны НИУ ВШЭ как заказчика</w:t>
      </w:r>
      <w:r w:rsidR="00887467">
        <w:t xml:space="preserve"> путем направления исполнителю соответствующего уведомления</w:t>
      </w:r>
      <w:r w:rsidR="00ED2209">
        <w:t>.</w:t>
      </w:r>
      <w:r>
        <w:t xml:space="preserve"> </w:t>
      </w:r>
    </w:p>
    <w:p w14:paraId="2FCAE521" w14:textId="77777777" w:rsidR="00717425" w:rsidRDefault="00717425" w:rsidP="00963FAE">
      <w:pPr>
        <w:pStyle w:val="a8"/>
        <w:tabs>
          <w:tab w:val="left" w:pos="993"/>
          <w:tab w:val="left" w:pos="8931"/>
        </w:tabs>
        <w:spacing w:line="24" w:lineRule="atLeast"/>
        <w:ind w:left="0"/>
        <w:contextualSpacing w:val="0"/>
        <w:jc w:val="both"/>
      </w:pPr>
    </w:p>
    <w:p w14:paraId="15C4F32A" w14:textId="77777777" w:rsidR="00ED2209" w:rsidRDefault="00ED2209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Основным сценарием </w:t>
      </w:r>
      <w:r w:rsidR="009C516B">
        <w:t>взаимодействия НИУ ВШЭ с преподавателем в случае, когда договор</w:t>
      </w:r>
      <w:r w:rsidR="00963FAE">
        <w:t xml:space="preserve"> по объективным причинам</w:t>
      </w:r>
      <w:r w:rsidR="009C516B">
        <w:t xml:space="preserve"> не может быть исполнен в соответствии с первоначальными договоренностями, </w:t>
      </w:r>
      <w:r w:rsidR="00EE118C">
        <w:t>является</w:t>
      </w:r>
      <w:r w:rsidR="009C516B">
        <w:t xml:space="preserve"> </w:t>
      </w:r>
      <w:r w:rsidR="009C516B" w:rsidRPr="008C4490">
        <w:rPr>
          <w:u w:val="single"/>
        </w:rPr>
        <w:t>изменение договора</w:t>
      </w:r>
      <w:r w:rsidR="00EE118C" w:rsidRPr="008C4490">
        <w:rPr>
          <w:u w:val="single"/>
        </w:rPr>
        <w:t xml:space="preserve"> </w:t>
      </w:r>
      <w:r w:rsidR="009C516B" w:rsidRPr="008C4490">
        <w:rPr>
          <w:u w:val="single"/>
        </w:rPr>
        <w:t>по соглашению сторон</w:t>
      </w:r>
      <w:r w:rsidR="009C516B">
        <w:t xml:space="preserve"> (если это возможно</w:t>
      </w:r>
      <w:r w:rsidR="00963FAE">
        <w:t>, в частности,</w:t>
      </w:r>
      <w:r w:rsidR="009C516B">
        <w:t xml:space="preserve"> позволяет учебный план, расписание и т.п.) или </w:t>
      </w:r>
      <w:r w:rsidR="00EE118C" w:rsidRPr="008C4490">
        <w:rPr>
          <w:u w:val="single"/>
        </w:rPr>
        <w:t>растор</w:t>
      </w:r>
      <w:r w:rsidR="009C516B" w:rsidRPr="008C4490">
        <w:rPr>
          <w:u w:val="single"/>
        </w:rPr>
        <w:t>ж</w:t>
      </w:r>
      <w:r w:rsidR="00EE118C" w:rsidRPr="008C4490">
        <w:rPr>
          <w:u w:val="single"/>
        </w:rPr>
        <w:t xml:space="preserve">ение договора по </w:t>
      </w:r>
      <w:r w:rsidR="009C516B" w:rsidRPr="008C4490">
        <w:rPr>
          <w:u w:val="single"/>
        </w:rPr>
        <w:t>соглашению сторон</w:t>
      </w:r>
      <w:r w:rsidR="009C516B">
        <w:t xml:space="preserve">. </w:t>
      </w:r>
    </w:p>
    <w:p w14:paraId="3FB1535F" w14:textId="77777777" w:rsidR="00963FAE" w:rsidRDefault="00963FAE" w:rsidP="00963FAE">
      <w:pPr>
        <w:pStyle w:val="a8"/>
        <w:tabs>
          <w:tab w:val="left" w:pos="993"/>
          <w:tab w:val="left" w:pos="8931"/>
        </w:tabs>
        <w:spacing w:line="24" w:lineRule="atLeast"/>
        <w:ind w:left="0"/>
        <w:contextualSpacing w:val="0"/>
        <w:jc w:val="both"/>
      </w:pPr>
    </w:p>
    <w:p w14:paraId="10D8376F" w14:textId="77777777" w:rsidR="00963FAE" w:rsidRDefault="00963FAE" w:rsidP="00D81543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Односторонний отказ НИУ ВШЭ от договора ГПХ как способ досрочного прекращения договора применяется </w:t>
      </w:r>
      <w:r w:rsidRPr="008C4490">
        <w:rPr>
          <w:u w:val="single"/>
        </w:rPr>
        <w:t>редко</w:t>
      </w:r>
      <w:r>
        <w:t xml:space="preserve">. </w:t>
      </w:r>
    </w:p>
    <w:p w14:paraId="35537D2D" w14:textId="2E97FFA3" w:rsidR="00963FAE" w:rsidRDefault="00963FAE" w:rsidP="00FF5E9C">
      <w:pPr>
        <w:pStyle w:val="a8"/>
        <w:tabs>
          <w:tab w:val="left" w:pos="8931"/>
        </w:tabs>
        <w:ind w:left="0" w:firstLine="709"/>
        <w:contextualSpacing w:val="0"/>
        <w:jc w:val="both"/>
      </w:pPr>
      <w:r>
        <w:t xml:space="preserve">Односторонний отказ – это право НИУ ВШЭ как заказчика. А в соответствии с законодательством лицо </w:t>
      </w:r>
      <w:r w:rsidRPr="008C4490">
        <w:rPr>
          <w:u w:val="single"/>
        </w:rPr>
        <w:t>не должно злоупотреблять своим правом</w:t>
      </w:r>
      <w:r>
        <w:t xml:space="preserve">, то есть использовать его для причинения вреда другому лицу. Поэтому НИУ ВШЭ, реализуя право на односторонний отказ от договора ГПХ, </w:t>
      </w:r>
      <w:r w:rsidRPr="008C7654">
        <w:rPr>
          <w:u w:val="single"/>
        </w:rPr>
        <w:t>долж</w:t>
      </w:r>
      <w:r w:rsidR="008C7654" w:rsidRPr="008C7654">
        <w:rPr>
          <w:u w:val="single"/>
        </w:rPr>
        <w:t xml:space="preserve">ен </w:t>
      </w:r>
      <w:r w:rsidRPr="008C7654">
        <w:rPr>
          <w:u w:val="single"/>
        </w:rPr>
        <w:t>действовать добросовестно</w:t>
      </w:r>
      <w:r>
        <w:t xml:space="preserve">, то есть иметь реальные </w:t>
      </w:r>
      <w:r w:rsidR="008C7654">
        <w:t>причины</w:t>
      </w:r>
      <w:r>
        <w:t xml:space="preserve"> для отказа от договора. </w:t>
      </w:r>
    </w:p>
    <w:p w14:paraId="1836D2D4" w14:textId="77777777" w:rsidR="00FF5E9C" w:rsidRDefault="00FF5E9C" w:rsidP="00FF5E9C">
      <w:pPr>
        <w:pStyle w:val="a8"/>
        <w:tabs>
          <w:tab w:val="left" w:pos="8931"/>
        </w:tabs>
        <w:ind w:left="0" w:firstLine="709"/>
        <w:contextualSpacing w:val="0"/>
        <w:jc w:val="both"/>
      </w:pPr>
    </w:p>
    <w:p w14:paraId="1E2B2507" w14:textId="77777777" w:rsidR="008C7654" w:rsidRDefault="008C7654" w:rsidP="009B64F8">
      <w:pPr>
        <w:pStyle w:val="a8"/>
        <w:tabs>
          <w:tab w:val="left" w:pos="1134"/>
          <w:tab w:val="left" w:pos="8931"/>
        </w:tabs>
        <w:ind w:left="0" w:firstLine="709"/>
        <w:contextualSpacing w:val="0"/>
        <w:jc w:val="both"/>
        <w:rPr>
          <w:u w:val="single"/>
        </w:rPr>
      </w:pPr>
      <w:r>
        <w:rPr>
          <w:u w:val="single"/>
        </w:rPr>
        <w:t>Такими причинами могут быть:</w:t>
      </w:r>
    </w:p>
    <w:p w14:paraId="783833B7" w14:textId="77777777" w:rsidR="009B64F8" w:rsidRDefault="008C7654" w:rsidP="00887467">
      <w:pPr>
        <w:pStyle w:val="a8"/>
        <w:numPr>
          <w:ilvl w:val="0"/>
          <w:numId w:val="9"/>
        </w:numPr>
        <w:tabs>
          <w:tab w:val="left" w:pos="993"/>
          <w:tab w:val="left" w:pos="1134"/>
          <w:tab w:val="left" w:pos="8931"/>
        </w:tabs>
        <w:ind w:left="0" w:firstLine="709"/>
        <w:contextualSpacing w:val="0"/>
        <w:jc w:val="both"/>
      </w:pPr>
      <w:r w:rsidRPr="009B64F8">
        <w:rPr>
          <w:b/>
        </w:rPr>
        <w:t>невозможность исполнения договора ГПХ</w:t>
      </w:r>
      <w:r>
        <w:t xml:space="preserve"> со стороны приглашенного преподавателя (независимо от причин), </w:t>
      </w:r>
      <w:r w:rsidRPr="009B64F8">
        <w:rPr>
          <w:b/>
        </w:rPr>
        <w:t>сопряженная с</w:t>
      </w:r>
      <w:r w:rsidR="009B64F8" w:rsidRPr="009B64F8">
        <w:rPr>
          <w:b/>
        </w:rPr>
        <w:t>:</w:t>
      </w:r>
    </w:p>
    <w:p w14:paraId="1F24D9D6" w14:textId="77777777" w:rsidR="009B64F8" w:rsidRDefault="0016584D" w:rsidP="00887467">
      <w:pPr>
        <w:pStyle w:val="a8"/>
        <w:numPr>
          <w:ilvl w:val="0"/>
          <w:numId w:val="10"/>
        </w:numPr>
        <w:tabs>
          <w:tab w:val="left" w:pos="993"/>
          <w:tab w:val="left" w:pos="1134"/>
          <w:tab w:val="left" w:pos="8931"/>
        </w:tabs>
        <w:ind w:left="0" w:firstLine="709"/>
        <w:contextualSpacing w:val="0"/>
        <w:jc w:val="both"/>
      </w:pPr>
      <w:r>
        <w:t>невозможность</w:t>
      </w:r>
      <w:r w:rsidR="009B64F8">
        <w:t>ю</w:t>
      </w:r>
      <w:r w:rsidR="00232898">
        <w:t>/ затрудненностью</w:t>
      </w:r>
      <w:r>
        <w:t xml:space="preserve"> </w:t>
      </w:r>
      <w:r w:rsidR="00232898">
        <w:t xml:space="preserve">для </w:t>
      </w:r>
      <w:r w:rsidR="008C4490">
        <w:t xml:space="preserve">НИУ ВШЭ </w:t>
      </w:r>
      <w:r>
        <w:t xml:space="preserve">связаться с </w:t>
      </w:r>
      <w:r w:rsidR="008C7654">
        <w:t>преподавателем</w:t>
      </w:r>
      <w:r>
        <w:t xml:space="preserve"> </w:t>
      </w:r>
      <w:r w:rsidR="009B64F8">
        <w:t>для урегулирования вопроса о расторжении договора по соглашению сторон;</w:t>
      </w:r>
    </w:p>
    <w:p w14:paraId="63C59F03" w14:textId="77777777" w:rsidR="0016584D" w:rsidRDefault="0016584D" w:rsidP="00887467">
      <w:pPr>
        <w:pStyle w:val="a8"/>
        <w:numPr>
          <w:ilvl w:val="0"/>
          <w:numId w:val="10"/>
        </w:numPr>
        <w:tabs>
          <w:tab w:val="left" w:pos="993"/>
          <w:tab w:val="left" w:pos="1134"/>
          <w:tab w:val="left" w:pos="8931"/>
        </w:tabs>
        <w:ind w:left="0" w:firstLine="709"/>
        <w:contextualSpacing w:val="0"/>
        <w:jc w:val="both"/>
      </w:pPr>
      <w:r>
        <w:t>краткосрочн</w:t>
      </w:r>
      <w:r w:rsidR="009B64F8">
        <w:t>ым характером</w:t>
      </w:r>
      <w:r>
        <w:t xml:space="preserve"> договора </w:t>
      </w:r>
      <w:r w:rsidR="009B64F8">
        <w:t xml:space="preserve">ГПХ, небольшим объемом оказываемых </w:t>
      </w:r>
      <w:r>
        <w:t>услуг</w:t>
      </w:r>
      <w:r w:rsidR="009B64F8">
        <w:t xml:space="preserve">, когда административные </w:t>
      </w:r>
      <w:r w:rsidR="00232898">
        <w:t xml:space="preserve">и временные </w:t>
      </w:r>
      <w:r w:rsidR="009B64F8">
        <w:t xml:space="preserve">издержки </w:t>
      </w:r>
      <w:r w:rsidR="008C4490">
        <w:t>на переговоры и заключение соглашения об изм</w:t>
      </w:r>
      <w:r w:rsidR="00232898">
        <w:t>енении/ расторжении договора несоразмерны краткосрочному характеру отношений</w:t>
      </w:r>
      <w:r>
        <w:t>;</w:t>
      </w:r>
    </w:p>
    <w:p w14:paraId="2F721FBD" w14:textId="77777777" w:rsidR="00232898" w:rsidRDefault="00217BF3" w:rsidP="00887467">
      <w:pPr>
        <w:pStyle w:val="a8"/>
        <w:numPr>
          <w:ilvl w:val="0"/>
          <w:numId w:val="10"/>
        </w:numPr>
        <w:tabs>
          <w:tab w:val="left" w:pos="993"/>
          <w:tab w:val="left" w:pos="1134"/>
          <w:tab w:val="left" w:pos="8931"/>
        </w:tabs>
        <w:ind w:left="0" w:firstLine="709"/>
        <w:contextualSpacing w:val="0"/>
        <w:jc w:val="both"/>
      </w:pPr>
      <w:r>
        <w:t>нецелесообразностью/ невозможностью переноса учебных занятий в связи с интенсивностью учебного процесса, вследствие чего для обеспечения непрерывности учебного процесса необходима замена преподавателя;</w:t>
      </w:r>
    </w:p>
    <w:p w14:paraId="483873D8" w14:textId="77777777" w:rsidR="00217BF3" w:rsidRDefault="00217BF3" w:rsidP="00887467">
      <w:pPr>
        <w:pStyle w:val="a8"/>
        <w:numPr>
          <w:ilvl w:val="0"/>
          <w:numId w:val="10"/>
        </w:numPr>
        <w:tabs>
          <w:tab w:val="left" w:pos="993"/>
          <w:tab w:val="left" w:pos="1134"/>
          <w:tab w:val="left" w:pos="8931"/>
        </w:tabs>
        <w:ind w:left="0" w:firstLine="709"/>
        <w:contextualSpacing w:val="0"/>
        <w:jc w:val="both"/>
      </w:pPr>
      <w:r>
        <w:t>отсутствием заблаговременного предупреждения НИУ ВШЭ со стороны преподавателя, когда не остается достаточного времени на урегулирование вопросов по изменению договора;</w:t>
      </w:r>
    </w:p>
    <w:p w14:paraId="60E99608" w14:textId="0AFA0A68" w:rsidR="0016584D" w:rsidRDefault="00232898" w:rsidP="00232898">
      <w:pPr>
        <w:pStyle w:val="a8"/>
        <w:numPr>
          <w:ilvl w:val="0"/>
          <w:numId w:val="9"/>
        </w:numPr>
        <w:tabs>
          <w:tab w:val="left" w:pos="993"/>
          <w:tab w:val="left" w:pos="1134"/>
        </w:tabs>
        <w:spacing w:before="60" w:line="24" w:lineRule="atLeast"/>
        <w:ind w:left="0" w:firstLine="709"/>
        <w:jc w:val="both"/>
      </w:pPr>
      <w:r w:rsidRPr="00232898">
        <w:rPr>
          <w:b/>
        </w:rPr>
        <w:t>н</w:t>
      </w:r>
      <w:r w:rsidR="0016584D" w:rsidRPr="00232898">
        <w:rPr>
          <w:b/>
        </w:rPr>
        <w:t>еконструктивно</w:t>
      </w:r>
      <w:r w:rsidRPr="00232898">
        <w:rPr>
          <w:b/>
        </w:rPr>
        <w:t>е поведение</w:t>
      </w:r>
      <w:r w:rsidR="0016584D">
        <w:t xml:space="preserve"> </w:t>
      </w:r>
      <w:r>
        <w:t>приглашенного преподавателя</w:t>
      </w:r>
      <w:r w:rsidR="0016584D">
        <w:t xml:space="preserve"> (уклонение</w:t>
      </w:r>
      <w:r>
        <w:t xml:space="preserve"> от переговоров</w:t>
      </w:r>
      <w:r w:rsidR="0016584D">
        <w:t>, неявка, и проч</w:t>
      </w:r>
      <w:r w:rsidR="009B64F8">
        <w:t>.</w:t>
      </w:r>
      <w:r w:rsidR="0016584D">
        <w:t xml:space="preserve"> для обще</w:t>
      </w:r>
      <w:r>
        <w:t xml:space="preserve">ния), </w:t>
      </w:r>
      <w:r w:rsidR="0016584D">
        <w:t>срывы</w:t>
      </w:r>
      <w:r>
        <w:t xml:space="preserve"> занятий</w:t>
      </w:r>
      <w:r w:rsidR="0016584D">
        <w:t xml:space="preserve">, </w:t>
      </w:r>
      <w:r>
        <w:t>неуважительные причины пропуска занятий</w:t>
      </w:r>
      <w:r w:rsidR="0016584D">
        <w:t>, особенно в условиях отсутствия заблаговременного уведомления</w:t>
      </w:r>
      <w:r w:rsidR="00887467">
        <w:t xml:space="preserve"> НИУ </w:t>
      </w:r>
      <w:r>
        <w:t>ВШЭ</w:t>
      </w:r>
      <w:r w:rsidR="00217BF3">
        <w:t xml:space="preserve">, иные </w:t>
      </w:r>
      <w:r w:rsidR="00217BF3" w:rsidRPr="00232898">
        <w:rPr>
          <w:b/>
        </w:rPr>
        <w:t>нарушени</w:t>
      </w:r>
      <w:r w:rsidR="00217BF3">
        <w:rPr>
          <w:b/>
        </w:rPr>
        <w:t>я</w:t>
      </w:r>
      <w:r w:rsidR="00217BF3" w:rsidRPr="00232898">
        <w:rPr>
          <w:b/>
        </w:rPr>
        <w:t xml:space="preserve"> условий договора</w:t>
      </w:r>
      <w:r w:rsidR="00217BF3">
        <w:t xml:space="preserve"> ГПХ приглашенным преподавателем</w:t>
      </w:r>
      <w:r w:rsidR="00217BF3">
        <w:rPr>
          <w:rStyle w:val="a7"/>
        </w:rPr>
        <w:footnoteReference w:id="1"/>
      </w:r>
      <w:r w:rsidR="00217BF3">
        <w:t>.</w:t>
      </w:r>
    </w:p>
    <w:p w14:paraId="7C2D94DB" w14:textId="77777777" w:rsidR="00232898" w:rsidRDefault="00232898" w:rsidP="00232898">
      <w:pPr>
        <w:pStyle w:val="a8"/>
        <w:tabs>
          <w:tab w:val="left" w:pos="993"/>
          <w:tab w:val="left" w:pos="1134"/>
        </w:tabs>
        <w:spacing w:before="60" w:line="24" w:lineRule="atLeast"/>
        <w:ind w:left="709"/>
        <w:jc w:val="both"/>
      </w:pPr>
    </w:p>
    <w:p w14:paraId="5D1421E0" w14:textId="31510002" w:rsidR="00FF5E9C" w:rsidRDefault="00217BF3" w:rsidP="00FF5E9C">
      <w:pPr>
        <w:pStyle w:val="a8"/>
        <w:numPr>
          <w:ilvl w:val="0"/>
          <w:numId w:val="12"/>
        </w:numPr>
        <w:tabs>
          <w:tab w:val="left" w:pos="993"/>
          <w:tab w:val="left" w:pos="8931"/>
        </w:tabs>
        <w:spacing w:line="24" w:lineRule="atLeast"/>
        <w:ind w:left="0" w:firstLine="709"/>
        <w:contextualSpacing w:val="0"/>
        <w:jc w:val="both"/>
      </w:pPr>
      <w:r>
        <w:t xml:space="preserve">При досрочном расторжении договора, в том числе в случае одностороннего отказа от договора со стороны НИУ ВШЭ, подлежат оплате услуги, фактически оказанные преподавателем к моменту расторжения договора. </w:t>
      </w:r>
    </w:p>
    <w:p w14:paraId="0B7A11BD" w14:textId="77777777" w:rsidR="00FF5E9C" w:rsidRDefault="00FF5E9C" w:rsidP="00FF5E9C">
      <w:pPr>
        <w:pStyle w:val="a8"/>
        <w:tabs>
          <w:tab w:val="left" w:pos="993"/>
          <w:tab w:val="left" w:pos="8931"/>
        </w:tabs>
        <w:spacing w:line="24" w:lineRule="atLeast"/>
        <w:ind w:left="709"/>
        <w:contextualSpacing w:val="0"/>
        <w:jc w:val="both"/>
      </w:pPr>
    </w:p>
    <w:p w14:paraId="5BA85727" w14:textId="4428676A" w:rsidR="00D94587" w:rsidRDefault="008C03C3" w:rsidP="00FF5E9C">
      <w:pPr>
        <w:pStyle w:val="a8"/>
        <w:numPr>
          <w:ilvl w:val="0"/>
          <w:numId w:val="12"/>
        </w:numPr>
        <w:tabs>
          <w:tab w:val="left" w:pos="993"/>
          <w:tab w:val="left" w:pos="1064"/>
        </w:tabs>
        <w:spacing w:line="24" w:lineRule="atLeast"/>
        <w:ind w:left="0" w:firstLine="709"/>
        <w:contextualSpacing w:val="0"/>
        <w:jc w:val="both"/>
      </w:pPr>
      <w:r>
        <w:t>Односторонний отказ НИУ ВШЭ от договора ГПХ при наличии обстоятельств, указанных в пункте 7</w:t>
      </w:r>
      <w:r w:rsidR="00887467">
        <w:t xml:space="preserve"> настоящих Разъяснений</w:t>
      </w:r>
      <w:r>
        <w:t xml:space="preserve">, осуществляется путем направления приглашенному преподавателю уведомления об этом. Уведомление может быть направлено как по адресу электронной почты исполнителя, указанному в договоре ГПХ, так и на бумажном носителе по месту регистрации/проживания исполнителя, указанному в договоре ГПХ. Оба эти канала связи являются официальными для направления юридически значимых сообщений, каковым является уведомление об одностороннем отказе от договора ГПХ. </w:t>
      </w:r>
    </w:p>
    <w:sectPr w:rsidR="00D94587" w:rsidSect="0088746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9960" w16cex:dateUtc="2021-03-02T08:00:00Z"/>
  <w16cex:commentExtensible w16cex:durableId="23E89A16" w16cex:dateUtc="2021-03-02T08:03:00Z"/>
  <w16cex:commentExtensible w16cex:durableId="23E89B84" w16cex:dateUtc="2021-03-02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758E1E" w16cid:durableId="23E89960"/>
  <w16cid:commentId w16cid:paraId="60D04A35" w16cid:durableId="23E89037"/>
  <w16cid:commentId w16cid:paraId="39ED7E89" w16cid:durableId="23E89A16"/>
  <w16cid:commentId w16cid:paraId="418998DB" w16cid:durableId="23E89B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2C55" w14:textId="77777777" w:rsidR="000D23AA" w:rsidRDefault="000D23AA" w:rsidP="00C23F82">
      <w:r>
        <w:separator/>
      </w:r>
    </w:p>
  </w:endnote>
  <w:endnote w:type="continuationSeparator" w:id="0">
    <w:p w14:paraId="19541B95" w14:textId="77777777" w:rsidR="000D23AA" w:rsidRDefault="000D23AA" w:rsidP="00C2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81871" w14:textId="77777777" w:rsidR="000D23AA" w:rsidRDefault="000D23AA" w:rsidP="00C23F82">
      <w:r>
        <w:separator/>
      </w:r>
    </w:p>
  </w:footnote>
  <w:footnote w:type="continuationSeparator" w:id="0">
    <w:p w14:paraId="7876204E" w14:textId="77777777" w:rsidR="000D23AA" w:rsidRDefault="000D23AA" w:rsidP="00C23F82">
      <w:r>
        <w:continuationSeparator/>
      </w:r>
    </w:p>
  </w:footnote>
  <w:footnote w:id="1">
    <w:p w14:paraId="185F8518" w14:textId="77777777" w:rsidR="00217BF3" w:rsidRDefault="00217BF3" w:rsidP="00217BF3">
      <w:pPr>
        <w:pStyle w:val="a5"/>
      </w:pPr>
      <w:r>
        <w:rPr>
          <w:rStyle w:val="a7"/>
        </w:rPr>
        <w:footnoteRef/>
      </w:r>
      <w:r>
        <w:t xml:space="preserve"> обязанности преподавателя предусмотрены разделом 7 договора ГПХ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66"/>
    <w:multiLevelType w:val="hybridMultilevel"/>
    <w:tmpl w:val="13783562"/>
    <w:lvl w:ilvl="0" w:tplc="3856C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479B9"/>
    <w:multiLevelType w:val="hybridMultilevel"/>
    <w:tmpl w:val="DD4423F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 w15:restartNumberingAfterBreak="0">
    <w:nsid w:val="2B366A31"/>
    <w:multiLevelType w:val="hybridMultilevel"/>
    <w:tmpl w:val="38346FE0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650C76"/>
    <w:multiLevelType w:val="hybridMultilevel"/>
    <w:tmpl w:val="6A6E78D2"/>
    <w:lvl w:ilvl="0" w:tplc="D338968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770354"/>
    <w:multiLevelType w:val="hybridMultilevel"/>
    <w:tmpl w:val="ADD413C4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5F4032"/>
    <w:multiLevelType w:val="hybridMultilevel"/>
    <w:tmpl w:val="CC5C7CA4"/>
    <w:lvl w:ilvl="0" w:tplc="0DB07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7A2A51"/>
    <w:multiLevelType w:val="hybridMultilevel"/>
    <w:tmpl w:val="BBA66E90"/>
    <w:lvl w:ilvl="0" w:tplc="2050E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991E4C"/>
    <w:multiLevelType w:val="hybridMultilevel"/>
    <w:tmpl w:val="030667B4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234136"/>
    <w:multiLevelType w:val="hybridMultilevel"/>
    <w:tmpl w:val="4E86D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839"/>
    <w:multiLevelType w:val="hybridMultilevel"/>
    <w:tmpl w:val="0D888798"/>
    <w:lvl w:ilvl="0" w:tplc="DC203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07759"/>
    <w:multiLevelType w:val="hybridMultilevel"/>
    <w:tmpl w:val="EB245CBC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903B12"/>
    <w:multiLevelType w:val="hybridMultilevel"/>
    <w:tmpl w:val="B872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0"/>
    <w:rsid w:val="00033669"/>
    <w:rsid w:val="000362B1"/>
    <w:rsid w:val="000420C4"/>
    <w:rsid w:val="00043133"/>
    <w:rsid w:val="000D23AA"/>
    <w:rsid w:val="00157FF6"/>
    <w:rsid w:val="0016584D"/>
    <w:rsid w:val="001826D5"/>
    <w:rsid w:val="002101F9"/>
    <w:rsid w:val="00217BF3"/>
    <w:rsid w:val="00232898"/>
    <w:rsid w:val="00276796"/>
    <w:rsid w:val="002838A6"/>
    <w:rsid w:val="002C71C5"/>
    <w:rsid w:val="00300291"/>
    <w:rsid w:val="003D6071"/>
    <w:rsid w:val="004576E4"/>
    <w:rsid w:val="004957DD"/>
    <w:rsid w:val="004E0171"/>
    <w:rsid w:val="00527E5F"/>
    <w:rsid w:val="0054057C"/>
    <w:rsid w:val="005E5F0F"/>
    <w:rsid w:val="00617970"/>
    <w:rsid w:val="006511F7"/>
    <w:rsid w:val="006A65DC"/>
    <w:rsid w:val="006C5733"/>
    <w:rsid w:val="00717425"/>
    <w:rsid w:val="007548A8"/>
    <w:rsid w:val="007758DD"/>
    <w:rsid w:val="007D100E"/>
    <w:rsid w:val="007D235E"/>
    <w:rsid w:val="00817A18"/>
    <w:rsid w:val="00882123"/>
    <w:rsid w:val="00887467"/>
    <w:rsid w:val="008C03C3"/>
    <w:rsid w:val="008C4490"/>
    <w:rsid w:val="008C7654"/>
    <w:rsid w:val="008F3EB5"/>
    <w:rsid w:val="009418F6"/>
    <w:rsid w:val="00963FAE"/>
    <w:rsid w:val="009B64F8"/>
    <w:rsid w:val="009C516B"/>
    <w:rsid w:val="009F440C"/>
    <w:rsid w:val="00AF0382"/>
    <w:rsid w:val="00B066DC"/>
    <w:rsid w:val="00B24AAB"/>
    <w:rsid w:val="00B552B8"/>
    <w:rsid w:val="00B84162"/>
    <w:rsid w:val="00BD16B0"/>
    <w:rsid w:val="00C1081B"/>
    <w:rsid w:val="00C23F82"/>
    <w:rsid w:val="00C550A5"/>
    <w:rsid w:val="00C93DBE"/>
    <w:rsid w:val="00CE6BA6"/>
    <w:rsid w:val="00D05155"/>
    <w:rsid w:val="00D054E3"/>
    <w:rsid w:val="00D07B49"/>
    <w:rsid w:val="00D2295F"/>
    <w:rsid w:val="00D81543"/>
    <w:rsid w:val="00D94587"/>
    <w:rsid w:val="00E173C0"/>
    <w:rsid w:val="00E41372"/>
    <w:rsid w:val="00ED2209"/>
    <w:rsid w:val="00EE118C"/>
    <w:rsid w:val="00F834EC"/>
    <w:rsid w:val="00FB1628"/>
    <w:rsid w:val="00FC70CD"/>
    <w:rsid w:val="00FD471B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983"/>
  <w15:chartTrackingRefBased/>
  <w15:docId w15:val="{D384DAB8-7E08-4DBD-AEB5-BD2678F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50A5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C550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23F8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3F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23F82"/>
    <w:rPr>
      <w:vertAlign w:val="superscript"/>
    </w:rPr>
  </w:style>
  <w:style w:type="paragraph" w:styleId="a8">
    <w:name w:val="List Paragraph"/>
    <w:basedOn w:val="a"/>
    <w:uiPriority w:val="34"/>
    <w:qFormat/>
    <w:rsid w:val="009F440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817A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7A1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7A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7A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7A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17A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D715-48CB-4F94-8179-3EA72322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 Сергей Васильевич</dc:creator>
  <cp:keywords/>
  <dc:description/>
  <cp:lastModifiedBy>Елена Козлова</cp:lastModifiedBy>
  <cp:revision>3</cp:revision>
  <dcterms:created xsi:type="dcterms:W3CDTF">2021-03-02T09:35:00Z</dcterms:created>
  <dcterms:modified xsi:type="dcterms:W3CDTF">2021-03-03T10:26:00Z</dcterms:modified>
</cp:coreProperties>
</file>